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line="600" w:lineRule="exact"/>
        <w:rPr>
          <w:rFonts w:ascii="Times New Roman" w:hAnsi="Times New Roman" w:eastAsia="黑体"/>
          <w:sz w:val="36"/>
          <w:szCs w:val="36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bookmarkStart w:id="0" w:name="_Toc30842"/>
      <w:r>
        <w:rPr>
          <w:rFonts w:ascii="Times New Roman" w:hAnsi="Times New Roman" w:eastAsia="黑体"/>
          <w:sz w:val="36"/>
          <w:szCs w:val="36"/>
        </w:rPr>
        <w:t>附件</w:t>
      </w:r>
      <w:r>
        <w:rPr>
          <w:rFonts w:hint="eastAsia" w:ascii="Times New Roman" w:hAnsi="Times New Roman" w:eastAsia="黑体"/>
          <w:sz w:val="36"/>
          <w:szCs w:val="36"/>
        </w:rPr>
        <w:t>3</w:t>
      </w:r>
    </w:p>
    <w:p>
      <w:pPr>
        <w:spacing w:line="300" w:lineRule="exact"/>
        <w:ind w:firstLine="880" w:firstLineChars="200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  <w:r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  <w:t>浙江省科技型中小企业</w:t>
      </w:r>
      <w:r>
        <w:rPr>
          <w:rFonts w:hint="eastAsia" w:ascii="华文仿宋" w:hAnsi="华文仿宋" w:eastAsia="华文仿宋" w:cs="华文仿宋"/>
          <w:b/>
          <w:bCs/>
          <w:color w:val="000000"/>
          <w:sz w:val="44"/>
          <w:szCs w:val="44"/>
        </w:rPr>
        <w:t>报表报送</w:t>
      </w:r>
    </w:p>
    <w:p>
      <w:pPr>
        <w:adjustRightInd w:val="0"/>
        <w:snapToGrid w:val="0"/>
        <w:spacing w:line="580" w:lineRule="exact"/>
        <w:jc w:val="center"/>
        <w:outlineLvl w:val="0"/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</w:pPr>
      <w:r>
        <w:rPr>
          <w:rFonts w:ascii="华文仿宋" w:hAnsi="华文仿宋" w:eastAsia="华文仿宋" w:cs="华文仿宋"/>
          <w:b/>
          <w:bCs/>
          <w:color w:val="000000"/>
          <w:sz w:val="44"/>
          <w:szCs w:val="44"/>
        </w:rPr>
        <w:t>操作</w:t>
      </w:r>
      <w:r>
        <w:rPr>
          <w:rFonts w:hint="eastAsia" w:ascii="华文仿宋" w:hAnsi="华文仿宋" w:eastAsia="华文仿宋" w:cs="华文仿宋"/>
          <w:b/>
          <w:bCs/>
          <w:color w:val="000000"/>
          <w:sz w:val="44"/>
          <w:szCs w:val="44"/>
        </w:rPr>
        <w:t>指南</w:t>
      </w:r>
    </w:p>
    <w:p>
      <w:pPr>
        <w:adjustRightInd w:val="0"/>
        <w:spacing w:line="70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pStyle w:val="2"/>
        <w:spacing w:before="0" w:after="0" w:line="60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一、平台登录</w:t>
      </w:r>
      <w:bookmarkEnd w:id="0"/>
    </w:p>
    <w:p>
      <w:pPr>
        <w:spacing w:line="600" w:lineRule="exact"/>
        <w:ind w:left="420" w:left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1.  </w:t>
      </w:r>
      <w:r>
        <w:rPr>
          <w:rFonts w:ascii="Times New Roman" w:hAnsi="Times New Roman" w:eastAsia="仿宋_GB2312"/>
          <w:sz w:val="32"/>
          <w:szCs w:val="32"/>
        </w:rPr>
        <w:t>使用政务服务法人网账号，登录“企业研发服务在线”平台（网址：</w:t>
      </w:r>
      <w:r>
        <w:fldChar w:fldCharType="begin"/>
      </w:r>
      <w:r>
        <w:instrText xml:space="preserve"> HYPERLINK "https://qyyffw.kjt.zj.gov.cn/fwzxpc/)" </w:instrText>
      </w:r>
      <w:r>
        <w:fldChar w:fldCharType="separate"/>
      </w:r>
      <w:r>
        <w:rPr>
          <w:rStyle w:val="6"/>
          <w:rFonts w:ascii="Times New Roman" w:hAnsi="Times New Roman" w:eastAsia="仿宋_GB2312"/>
          <w:sz w:val="32"/>
          <w:szCs w:val="32"/>
        </w:rPr>
        <w:t>https://qyyffw.kjt.zj.gov.cn/fwzxpc/)</w:t>
      </w:r>
      <w:r>
        <w:rPr>
          <w:rStyle w:val="6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，未注册政务服务网法人账号的，请先注册。</w:t>
      </w:r>
    </w:p>
    <w:p>
      <w:pPr>
        <w:jc w:val="center"/>
      </w:pPr>
      <w:r>
        <w:drawing>
          <wp:inline distT="0" distB="0" distL="114300" distR="114300">
            <wp:extent cx="5073015" cy="3202305"/>
            <wp:effectExtent l="9525" t="9525" r="22860" b="26670"/>
            <wp:docPr id="2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>进入【企业培育】</w:t>
      </w:r>
      <w:r>
        <w:rPr>
          <w:rFonts w:ascii="Times New Roman" w:hAnsi="Times New Roman" w:eastAsia="仿宋_GB2312"/>
          <w:sz w:val="32"/>
          <w:szCs w:val="32"/>
          <w:lang w:eastAsia="zh-Hans"/>
        </w:rPr>
        <w:t>页面，点击【科技型中小企业】入口。</w:t>
      </w:r>
    </w:p>
    <w:p>
      <w:pPr>
        <w:tabs>
          <w:tab w:val="left" w:pos="312"/>
        </w:tabs>
        <w:jc w:val="center"/>
      </w:pPr>
      <w:r>
        <w:drawing>
          <wp:inline distT="0" distB="0" distL="114300" distR="114300">
            <wp:extent cx="4991100" cy="1905000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left="420" w:left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  <w:lang w:eastAsia="zh-Hans"/>
        </w:rPr>
        <w:t>在唤起弹窗中选择【浙江省科技型中小企业】，进入科技型中小企业认定管理页面。</w:t>
      </w:r>
    </w:p>
    <w:p>
      <w:pPr>
        <w:jc w:val="center"/>
      </w:pPr>
      <w:r>
        <w:drawing>
          <wp:inline distT="0" distB="0" distL="114300" distR="114300">
            <wp:extent cx="5074285" cy="2426335"/>
            <wp:effectExtent l="0" t="0" r="12065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left="420" w:left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  <w:lang w:eastAsia="zh-Hans"/>
        </w:rPr>
        <w:t>进入浙江省科技型中小企业认定管理页面，点击【年度报表】按钮，进入科技型中小企业年度报表填报页面。</w:t>
      </w:r>
    </w:p>
    <w:p>
      <w:pPr>
        <w:jc w:val="center"/>
      </w:pPr>
      <w:r>
        <w:drawing>
          <wp:inline distT="0" distB="0" distL="114300" distR="114300">
            <wp:extent cx="4904105" cy="3405505"/>
            <wp:effectExtent l="0" t="0" r="1079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2"/>
        <w:spacing w:before="0" w:after="0" w:line="60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二、填报年报</w:t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点击左边菜单栏中的“动态数据（年报）”按钮</w:t>
      </w:r>
      <w:r>
        <w:rPr>
          <w:rFonts w:ascii="Times New Roman" w:hAnsi="Times New Roman" w:eastAsia="仿宋_GB2312"/>
          <w:sz w:val="32"/>
          <w:szCs w:val="32"/>
        </w:rPr>
        <w:t>，先完善企业所属技术领域（3级）、所属行业类别（3级）及企业所在地信息并保存。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9865" cy="2450465"/>
            <wp:effectExtent l="0" t="0" r="6985" b="698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点击“开始填报年报”按钮，即可进去填报年报界面（如下图所示）。</w:t>
      </w:r>
    </w:p>
    <w:p>
      <w:pPr>
        <w:jc w:val="center"/>
      </w:pPr>
      <w:r>
        <w:drawing>
          <wp:inline distT="0" distB="0" distL="114300" distR="114300">
            <wp:extent cx="4980940" cy="2604135"/>
            <wp:effectExtent l="0" t="0" r="10160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89195" cy="2476500"/>
            <wp:effectExtent l="0" t="0" r="190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ascii="仿宋_GB2312" w:hAnsi="仿宋_GB2312" w:eastAsia="仿宋_GB2312" w:cs="仿宋_GB2312"/>
          <w:b w:val="0"/>
          <w:bCs/>
          <w:sz w:val="32"/>
          <w:szCs w:val="20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20"/>
        </w:rPr>
        <w:t>附：流程图</w:t>
      </w:r>
    </w:p>
    <w:p>
      <w:r>
        <w:drawing>
          <wp:inline distT="0" distB="0" distL="114300" distR="114300">
            <wp:extent cx="5265420" cy="1718945"/>
            <wp:effectExtent l="0" t="0" r="11430" b="1460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978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975F075"/>
    <w:multiLevelType w:val="singleLevel"/>
    <w:tmpl w:val="4975F075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7190F951"/>
    <w:multiLevelType w:val="singleLevel"/>
    <w:tmpl w:val="7190F9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4B11E6"/>
    <w:rsid w:val="5F4B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2022-04-08T01:13:00Z</dcterms:created>
  <dc:creator>Administrator</dc:creator>
  <cp:lastModifiedBy>Administrator</cp:lastModifiedBy>
  <dcterms:modified xsi:type="dcterms:W3CDTF">2022-04-08T01:14:42Z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