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Times New Roman" w:hAnsi="Times New Roman" w:eastAsia="黑体"/>
          <w:sz w:val="36"/>
          <w:szCs w:val="36"/>
        </w:rPr>
      </w:pPr>
      <w:r>
        <w:rPr>
          <w:rFonts w:ascii="Times New Roman" w:hAnsi="Times New Roman" w:eastAsia="黑体"/>
          <w:sz w:val="36"/>
          <w:szCs w:val="36"/>
        </w:rPr>
        <w:t>附件2</w:t>
      </w:r>
    </w:p>
    <w:p>
      <w:pPr>
        <w:spacing w:line="300" w:lineRule="exact"/>
        <w:ind w:firstLine="880" w:firstLineChars="200"/>
        <w:jc w:val="center"/>
        <w:rPr>
          <w:rFonts w:ascii="Times New Roman" w:hAnsi="Times New Roman" w:eastAsia="方正小标宋简体"/>
          <w:sz w:val="44"/>
          <w:szCs w:val="44"/>
        </w:rPr>
      </w:pPr>
    </w:p>
    <w:p>
      <w:pPr>
        <w:adjustRightInd w:val="0"/>
        <w:snapToGrid w:val="0"/>
        <w:spacing w:line="580" w:lineRule="exact"/>
        <w:jc w:val="center"/>
        <w:outlineLvl w:val="0"/>
        <w:rPr>
          <w:rFonts w:ascii="华文仿宋" w:hAnsi="华文仿宋" w:eastAsia="华文仿宋" w:cs="华文仿宋"/>
          <w:b/>
          <w:bCs/>
          <w:color w:val="000000"/>
          <w:sz w:val="44"/>
          <w:szCs w:val="44"/>
        </w:rPr>
      </w:pPr>
      <w:bookmarkStart w:id="0" w:name="_GoBack"/>
      <w:r>
        <w:rPr>
          <w:rFonts w:ascii="华文仿宋" w:hAnsi="华文仿宋" w:eastAsia="华文仿宋" w:cs="华文仿宋"/>
          <w:b/>
          <w:bCs/>
          <w:color w:val="000000"/>
          <w:sz w:val="44"/>
          <w:szCs w:val="44"/>
        </w:rPr>
        <w:t>浙江省科技型中小企业申报认定</w:t>
      </w:r>
    </w:p>
    <w:p>
      <w:pPr>
        <w:adjustRightInd w:val="0"/>
        <w:snapToGrid w:val="0"/>
        <w:spacing w:line="580" w:lineRule="exact"/>
        <w:jc w:val="center"/>
        <w:outlineLvl w:val="0"/>
        <w:rPr>
          <w:rFonts w:ascii="华文仿宋" w:hAnsi="华文仿宋" w:eastAsia="华文仿宋" w:cs="华文仿宋"/>
          <w:b/>
          <w:bCs/>
          <w:color w:val="000000"/>
          <w:sz w:val="44"/>
          <w:szCs w:val="44"/>
        </w:rPr>
      </w:pPr>
      <w:r>
        <w:rPr>
          <w:rFonts w:ascii="华文仿宋" w:hAnsi="华文仿宋" w:eastAsia="华文仿宋" w:cs="华文仿宋"/>
          <w:b/>
          <w:bCs/>
          <w:color w:val="000000"/>
          <w:sz w:val="44"/>
          <w:szCs w:val="44"/>
        </w:rPr>
        <w:t>操作</w:t>
      </w:r>
      <w:r>
        <w:rPr>
          <w:rFonts w:hint="eastAsia" w:ascii="华文仿宋" w:hAnsi="华文仿宋" w:eastAsia="华文仿宋" w:cs="华文仿宋"/>
          <w:b/>
          <w:bCs/>
          <w:color w:val="000000"/>
          <w:sz w:val="44"/>
          <w:szCs w:val="44"/>
        </w:rPr>
        <w:t>指南</w:t>
      </w:r>
    </w:p>
    <w:bookmarkEnd w:id="0"/>
    <w:p>
      <w:pPr>
        <w:adjustRightInd w:val="0"/>
        <w:snapToGrid w:val="0"/>
        <w:spacing w:line="580" w:lineRule="exact"/>
        <w:jc w:val="center"/>
        <w:outlineLvl w:val="0"/>
        <w:rPr>
          <w:rFonts w:ascii="华文仿宋" w:hAnsi="华文仿宋" w:eastAsia="华文仿宋" w:cs="华文仿宋"/>
          <w:b/>
          <w:bCs/>
          <w:color w:val="000000"/>
          <w:sz w:val="44"/>
          <w:szCs w:val="44"/>
        </w:rPr>
      </w:pPr>
    </w:p>
    <w:p>
      <w:pPr>
        <w:pStyle w:val="2"/>
        <w:numPr>
          <w:ilvl w:val="0"/>
          <w:numId w:val="1"/>
        </w:numPr>
        <w:spacing w:before="0" w:after="0" w:line="600" w:lineRule="exact"/>
        <w:ind w:left="0" w:firstLine="640" w:firstLineChars="200"/>
        <w:rPr>
          <w:rFonts w:ascii="Times New Roman" w:hAnsi="Times New Roman" w:eastAsia="黑体"/>
          <w:b w:val="0"/>
          <w:bCs/>
          <w:sz w:val="32"/>
          <w:szCs w:val="20"/>
        </w:rPr>
      </w:pPr>
      <w:r>
        <w:rPr>
          <w:rFonts w:ascii="Times New Roman" w:hAnsi="Times New Roman" w:eastAsia="黑体"/>
          <w:b w:val="0"/>
          <w:bCs/>
          <w:sz w:val="32"/>
          <w:szCs w:val="20"/>
        </w:rPr>
        <w:t>平台登录</w:t>
      </w:r>
    </w:p>
    <w:p>
      <w:pPr>
        <w:numPr>
          <w:ilvl w:val="0"/>
          <w:numId w:val="2"/>
        </w:num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使用政务服务法人网账号，登录“企业研发服务在线”平台（网址：</w:t>
      </w:r>
      <w:r>
        <w:fldChar w:fldCharType="begin"/>
      </w:r>
      <w:r>
        <w:instrText xml:space="preserve"> HYPERLINK "https://qyyffw.kjt.zj.gov.cn/fwzxpc/)" </w:instrText>
      </w:r>
      <w:r>
        <w:fldChar w:fldCharType="separate"/>
      </w:r>
      <w:r>
        <w:rPr>
          <w:rStyle w:val="6"/>
          <w:rFonts w:ascii="Times New Roman" w:hAnsi="Times New Roman" w:eastAsia="仿宋_GB2312"/>
          <w:sz w:val="32"/>
          <w:szCs w:val="32"/>
        </w:rPr>
        <w:t>https://qyyffw.kjt.zj.gov.cn/fwzxpc/)</w:t>
      </w:r>
      <w:r>
        <w:rPr>
          <w:rStyle w:val="6"/>
          <w:rFonts w:ascii="Times New Roman" w:hAnsi="Times New Roman" w:eastAsia="仿宋_GB2312"/>
          <w:sz w:val="32"/>
          <w:szCs w:val="32"/>
        </w:rPr>
        <w:fldChar w:fldCharType="end"/>
      </w:r>
      <w:r>
        <w:rPr>
          <w:rFonts w:ascii="Times New Roman" w:hAnsi="Times New Roman" w:eastAsia="仿宋_GB2312"/>
          <w:sz w:val="32"/>
          <w:szCs w:val="32"/>
        </w:rPr>
        <w:t>，未注册政务服务网法人账号的，请先注册。</w:t>
      </w:r>
    </w:p>
    <w:p>
      <w:pPr>
        <w:pStyle w:val="3"/>
        <w:widowControl/>
        <w:spacing w:before="0" w:beforeAutospacing="0" w:after="0" w:afterAutospacing="0"/>
        <w:jc w:val="center"/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1352550</wp:posOffset>
                </wp:positionV>
                <wp:extent cx="1238250" cy="968375"/>
                <wp:effectExtent l="6350" t="6350" r="12700" b="15875"/>
                <wp:wrapNone/>
                <wp:docPr id="24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905" y="5571490"/>
                          <a:ext cx="1238250" cy="968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108.6pt;margin-top:106.5pt;height:76.25pt;width:97.5pt;z-index:251659264;mso-width-relative:page;mso-height-relative:page;" filled="f" stroked="t" coordsize="21600,21600" o:gfxdata="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EdL3MtkAAAALAQAADwAAAAAAAAAB&#10;ACAAAAAiAAAAZHJzL2Rvd25yZXYueG1sUEsBAhQAFAAAAAgAh07iQHlankpIAgAAXgQAAA4AAAAA&#10;AAAAAQAgAAAAKAEAAGRycy9lMm9Eb2MueG1sUEsFBgAAAAAGAAYAWQEAAOIFAAAAAA==&#10;">
                <v:fill on="f" focussize="0,0"/>
                <v:stroke weight="1pt" color="#FF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073015" cy="3202305"/>
            <wp:effectExtent l="9525" t="9525" r="22860" b="26670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3202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进入【企业培育】</w:t>
      </w:r>
      <w:r>
        <w:rPr>
          <w:rFonts w:ascii="Times New Roman" w:hAnsi="Times New Roman" w:eastAsia="仿宋_GB2312"/>
          <w:sz w:val="32"/>
          <w:szCs w:val="32"/>
          <w:lang w:eastAsia="zh-Hans"/>
        </w:rPr>
        <w:t>页面，点击【科技型中小企业】入口。</w:t>
      </w:r>
    </w:p>
    <w:p>
      <w:pPr>
        <w:tabs>
          <w:tab w:val="left" w:pos="312"/>
        </w:tabs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114300" distR="114300">
            <wp:extent cx="5080635" cy="1953895"/>
            <wp:effectExtent l="9525" t="9525" r="1524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1953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  <w:lang w:eastAsia="zh-Hans"/>
        </w:rPr>
        <w:t>在唤起弹窗中选择【浙江省科技型中小企业】，进入科技型中小企业认定管理页面。</w:t>
      </w:r>
    </w:p>
    <w:p>
      <w:pPr>
        <w:ind w:firstLine="420" w:firstLineChars="200"/>
        <w:rPr>
          <w:rFonts w:ascii="Times New Roman" w:hAnsi="Times New Roman" w:eastAsia="黑体"/>
          <w:color w:val="0000FF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114300" distR="114300">
            <wp:extent cx="5191760" cy="2482215"/>
            <wp:effectExtent l="9525" t="9525" r="18415" b="228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482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  <w:lang w:eastAsia="zh-Hans"/>
        </w:rPr>
        <w:t>进入浙江省科技型中小企业认定管理页面，点击申报入口区【点击申报】按钮，进行科技型中小企业申报。</w:t>
      </w:r>
    </w:p>
    <w:p>
      <w:pPr>
        <w:ind w:firstLine="420" w:firstLineChars="200"/>
        <w:jc w:val="center"/>
        <w:rPr>
          <w:rFonts w:ascii="Times New Roman" w:hAnsi="Times New Roman" w:eastAsia="宋体"/>
          <w:sz w:val="30"/>
          <w:szCs w:val="30"/>
        </w:rPr>
      </w:pPr>
      <w:r>
        <w:rPr>
          <w:rFonts w:ascii="Times New Roman" w:hAnsi="Times New Roman"/>
        </w:rPr>
        <w:drawing>
          <wp:inline distT="0" distB="0" distL="114300" distR="114300">
            <wp:extent cx="4998720" cy="3484880"/>
            <wp:effectExtent l="9525" t="9525" r="2095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484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600" w:lineRule="exact"/>
        <w:ind w:left="0" w:firstLine="640" w:firstLineChars="200"/>
        <w:rPr>
          <w:rFonts w:ascii="Times New Roman" w:hAnsi="Times New Roman" w:eastAsia="黑体"/>
          <w:b w:val="0"/>
          <w:bCs/>
          <w:sz w:val="32"/>
          <w:szCs w:val="20"/>
        </w:rPr>
      </w:pPr>
      <w:r>
        <w:rPr>
          <w:rFonts w:ascii="Times New Roman" w:hAnsi="Times New Roman" w:eastAsia="黑体"/>
          <w:b w:val="0"/>
          <w:bCs/>
          <w:sz w:val="32"/>
          <w:szCs w:val="20"/>
        </w:rPr>
        <w:t>在线填报</w:t>
      </w:r>
    </w:p>
    <w:p>
      <w:pPr>
        <w:numPr>
          <w:ilvl w:val="0"/>
          <w:numId w:val="3"/>
        </w:numPr>
        <w:spacing w:line="600" w:lineRule="exact"/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填报入口：进入业务系统后，左上角的“</w:t>
      </w:r>
      <w:r>
        <w:rPr>
          <w:rFonts w:ascii="Times New Roman" w:hAnsi="Times New Roman" w:eastAsia="宋体"/>
          <w:sz w:val="32"/>
          <w:szCs w:val="32"/>
        </w:rPr>
        <w:drawing>
          <wp:inline distT="0" distB="0" distL="114300" distR="114300">
            <wp:extent cx="1515745" cy="275590"/>
            <wp:effectExtent l="0" t="0" r="825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/>
          <w:sz w:val="32"/>
          <w:szCs w:val="32"/>
        </w:rPr>
        <w:t>”按钮，即可跳转至浙江政务网在线填报（如下图所示）。</w:t>
      </w:r>
    </w:p>
    <w:p>
      <w:pPr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114300" distR="114300">
            <wp:extent cx="5269865" cy="2165350"/>
            <wp:effectExtent l="9525" t="9525" r="16510" b="158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网上填报：系统跳转至浙江政务网在线填报页面后，按照系统要求，填报相应内容，并上传证明材料。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7325" cy="2740025"/>
            <wp:effectExtent l="9525" t="9525" r="1905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Times New Roman" w:hAnsi="Times New Roman"/>
        </w:rPr>
      </w:pPr>
    </w:p>
    <w:p>
      <w:pPr>
        <w:numPr>
          <w:ilvl w:val="0"/>
          <w:numId w:val="3"/>
        </w:num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草稿找回：登录浙江政务网，点击右侧菜单栏“</w: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441960" cy="434340"/>
            <wp:effectExtent l="0" t="0" r="15240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/>
          <w:sz w:val="32"/>
          <w:szCs w:val="32"/>
        </w:rPr>
        <w:t>”或右上角企业名称，进入用户中心后点击左侧菜单栏“我的办事”——“草稿记录”，即可编辑未完成填报的草稿。</w:t>
      </w:r>
    </w:p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drawing>
          <wp:inline distT="0" distB="0" distL="114300" distR="114300">
            <wp:extent cx="5192395" cy="3048000"/>
            <wp:effectExtent l="9525" t="9525" r="1778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30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0" w:firstLine="640" w:firstLineChars="200"/>
        <w:rPr>
          <w:rFonts w:ascii="Times New Roman" w:hAnsi="Times New Roman" w:eastAsia="黑体"/>
          <w:b w:val="0"/>
          <w:bCs/>
          <w:sz w:val="32"/>
          <w:szCs w:val="20"/>
        </w:rPr>
      </w:pPr>
      <w:r>
        <w:rPr>
          <w:rFonts w:ascii="Times New Roman" w:hAnsi="Times New Roman" w:eastAsia="黑体"/>
          <w:b w:val="0"/>
          <w:bCs/>
          <w:sz w:val="32"/>
          <w:szCs w:val="20"/>
        </w:rPr>
        <w:t>状态查询及修改补正</w:t>
      </w:r>
    </w:p>
    <w:p>
      <w:pPr>
        <w:jc w:val="center"/>
        <w:rPr>
          <w:rFonts w:ascii="Times New Roman" w:hAnsi="Times New Roman" w:eastAsia="黑体"/>
          <w:color w:val="0000FF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114300" distR="114300">
            <wp:extent cx="4613910" cy="2624455"/>
            <wp:effectExtent l="9525" t="9525" r="24765" b="139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262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ascii="Times New Roman" w:hAnsi="Times New Roman"/>
        </w:rPr>
      </w:pPr>
      <w:r>
        <w:rPr>
          <w:rFonts w:ascii="Times New Roman" w:hAnsi="Times New Roman" w:eastAsia="仿宋_GB2312"/>
          <w:sz w:val="32"/>
          <w:szCs w:val="32"/>
        </w:rPr>
        <w:t>若申报书被科技局退回，需要修改再提交的，以上流程，进入业务系统，可以在页面中查看到已办理的申报记录，点击“查看申报书”可进行修改补正材料（如下图所示）。</w:t>
      </w:r>
      <w:r>
        <w:rPr>
          <w:rFonts w:ascii="Times New Roman" w:hAnsi="Times New Roman"/>
        </w:rPr>
        <w:drawing>
          <wp:inline distT="0" distB="0" distL="114300" distR="114300">
            <wp:extent cx="4899025" cy="2631440"/>
            <wp:effectExtent l="9525" t="9525" r="25400" b="260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2631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Times New Roman" w:hAnsi="Times New Roman"/>
        </w:rPr>
      </w:pPr>
    </w:p>
    <w:p>
      <w:pPr>
        <w:ind w:firstLine="640" w:firstLineChars="200"/>
        <w:rPr>
          <w:rFonts w:ascii="Times New Roman" w:hAnsi="Times New Roman" w:eastAsia="黑体"/>
          <w:bCs/>
          <w:sz w:val="32"/>
          <w:szCs w:val="32"/>
        </w:rPr>
      </w:pPr>
      <w:r>
        <w:rPr>
          <w:rStyle w:val="7"/>
          <w:rFonts w:ascii="Times New Roman" w:hAnsi="Times New Roman" w:eastAsia="黑体"/>
          <w:b w:val="0"/>
          <w:bCs/>
          <w:sz w:val="32"/>
          <w:szCs w:val="32"/>
        </w:rPr>
        <w:t>四、证书查看</w:t>
      </w:r>
    </w:p>
    <w:p>
      <w:pPr>
        <w:ind w:firstLine="640" w:firstLineChars="200"/>
        <w:jc w:val="center"/>
        <w:rPr>
          <w:rFonts w:ascii="Times New Roman" w:hAnsi="Times New Roman"/>
        </w:rPr>
      </w:pPr>
      <w:r>
        <w:rPr>
          <w:rFonts w:ascii="Times New Roman" w:hAnsi="Times New Roman" w:eastAsia="仿宋_GB2312"/>
          <w:sz w:val="32"/>
          <w:szCs w:val="32"/>
          <w:lang w:eastAsia="zh-Hans"/>
        </w:rPr>
        <w:t>点击证书下载，进入科技型中小企业证书详情页面。</w:t>
      </w:r>
      <w:r>
        <w:rPr>
          <w:rFonts w:ascii="Times New Roman" w:hAnsi="Times New Roman"/>
        </w:rPr>
        <w:drawing>
          <wp:inline distT="0" distB="0" distL="114300" distR="114300">
            <wp:extent cx="4411980" cy="2303145"/>
            <wp:effectExtent l="9525" t="9525" r="17145" b="1143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303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600" w:lineRule="exact"/>
        <w:ind w:firstLine="640" w:firstLineChars="200"/>
        <w:rPr>
          <w:rFonts w:ascii="Times New Roman" w:hAnsi="Times New Roman" w:eastAsia="仿宋_GB2312"/>
          <w:b w:val="0"/>
          <w:kern w:val="2"/>
          <w:sz w:val="32"/>
          <w:szCs w:val="32"/>
          <w:lang w:eastAsia="zh-Hans"/>
        </w:rPr>
      </w:pPr>
      <w:r>
        <w:rPr>
          <w:rFonts w:ascii="Times New Roman" w:hAnsi="Times New Roman" w:eastAsia="仿宋_GB2312"/>
          <w:b w:val="0"/>
          <w:kern w:val="2"/>
          <w:sz w:val="32"/>
          <w:szCs w:val="32"/>
          <w:lang w:eastAsia="zh-Hans"/>
        </w:rPr>
        <w:t>进入科技型中小企业证书详情页面。点击查看更多，进入证书页面，可进行预览，下载。</w:t>
      </w:r>
    </w:p>
    <w:p>
      <w:pPr>
        <w:jc w:val="center"/>
      </w:pPr>
      <w:r>
        <w:drawing>
          <wp:inline distT="0" distB="0" distL="114300" distR="114300">
            <wp:extent cx="4359275" cy="2375535"/>
            <wp:effectExtent l="9525" t="9525" r="12700" b="1524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187190" cy="2155190"/>
            <wp:effectExtent l="9525" t="9525" r="13335" b="260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2155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>
      <w:pPr>
        <w:pStyle w:val="2"/>
        <w:numPr>
          <w:ilvl w:val="0"/>
          <w:numId w:val="4"/>
        </w:numPr>
        <w:ind w:left="0" w:firstLine="0"/>
        <w:rPr>
          <w:rFonts w:ascii="Times New Roman" w:hAnsi="Times New Roman" w:eastAsia="仿宋_GB2312"/>
          <w:b w:val="0"/>
          <w:bCs/>
          <w:sz w:val="32"/>
          <w:szCs w:val="20"/>
        </w:rPr>
      </w:pPr>
      <w:r>
        <w:rPr>
          <w:rFonts w:ascii="Times New Roman" w:hAnsi="Times New Roman" w:eastAsia="仿宋_GB2312"/>
          <w:b w:val="0"/>
          <w:bCs/>
          <w:sz w:val="32"/>
          <w:szCs w:val="20"/>
        </w:rPr>
        <w:t>附：流程图</w:t>
      </w:r>
    </w:p>
    <w:p>
      <w:r>
        <w:rPr>
          <w:rFonts w:ascii="Times New Roman" w:hAnsi="Times New Roman"/>
        </w:rPr>
        <w:drawing>
          <wp:inline distT="0" distB="0" distL="114300" distR="114300">
            <wp:extent cx="5240655" cy="7498080"/>
            <wp:effectExtent l="0" t="0" r="17145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6F45207"/>
    <w:multiLevelType w:val="singleLevel"/>
    <w:tmpl w:val="B6F45207"/>
    <w:lvl w:ilvl="0" w:tentative="0">
      <w:start w:val="1"/>
      <w:numFmt w:val="chineseCounting"/>
      <w:suff w:val="nothing"/>
      <w:lvlText w:val="%1、"/>
      <w:lvlJc w:val="left"/>
      <w:pPr>
        <w:ind w:left="640" w:firstLine="0"/>
      </w:pPr>
      <w:rPr>
        <w:rFonts w:hint="eastAsia"/>
      </w:rPr>
    </w:lvl>
  </w:abstractNum>
  <w:abstractNum w:abstractNumId="1">
    <w:nsid w:val="BF5E4B40"/>
    <w:multiLevelType w:val="singleLevel"/>
    <w:tmpl w:val="BF5E4B4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544E563"/>
    <w:multiLevelType w:val="singleLevel"/>
    <w:tmpl w:val="E544E56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46C18E1"/>
    <w:multiLevelType w:val="singleLevel"/>
    <w:tmpl w:val="146C18E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D02A42"/>
    <w:rsid w:val="1ED0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标题 1 字符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2022-04-08T01:12:00Z</dcterms:created>
  <dc:creator>Administrator</dc:creator>
  <cp:lastModifiedBy>Administrator</cp:lastModifiedBy>
  <dcterms:modified xsi:type="dcterms:W3CDTF">2022-04-08T01:13:37Z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